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it-IT"/>
        </w:rPr>
        <w:t>La dimensione teologico-liturgica del Ministro straordinario della Comunione eucaristica</w:t>
      </w:r>
    </w:p>
    <w:p>
      <w:pPr>
        <w:pStyle w:val="Di 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Introduzione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Ministro straordinario della Comunione eucaristica svolge un servizio ecclesiale che si colloca al cuore della vita liturgica della Chiesa: la celebrazione e la distribuzione del Sacramento dell'Eucaristia. Il suo ministero, pur non appartenendo all'Ordine sacro, trova il proprio fondamento nella natura ecclesiale dell'Eucaristia, nella partecipazione battesimale dei fedeli alla missione della Chiesa e nella necessit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pastorale di favorire un incontro pi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ù </w:t>
      </w:r>
      <w:r>
        <w:rPr>
          <w:rFonts w:ascii="Times Roman" w:hAnsi="Times Roman"/>
          <w:sz w:val="28"/>
          <w:szCs w:val="28"/>
          <w:rtl w:val="0"/>
          <w:lang w:val="it-IT"/>
        </w:rPr>
        <w:t>ampio e fruttuoso con Cristo presente nel Sacramento.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sua identit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non si esaurisce, pertanto, in una funzione pratica di distribuzione della Comunione, ma richiede una comprensione teologica, liturgica e spirituale del servizio affidatogli. Il Ministro straordinario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chiamato a operare con fede, discrezione e senso ecclesiale, custodendo la dignit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del Sacramento e manifestando, attraverso il proprio servizio, la comunione che unisce i fedeli a Cristo e tra loro.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suo ministero deve essere compreso alla luce di tre dimensioni fondamentali: il mistero eucaristico, la natura ministeriale della Chiesa e la partecipazione ordinata alla liturgia.</w:t>
      </w:r>
    </w:p>
    <w:p>
      <w:pPr>
        <w:pStyle w:val="Di 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1.</w:t>
      </w:r>
      <w:r>
        <w:rPr>
          <w:rFonts w:ascii="Times Roman" w:hAnsi="Times Roman"/>
          <w:b w:val="1"/>
          <w:bCs w:val="1"/>
          <w:outline w:val="0"/>
          <w:color w:val="b51700"/>
          <w:sz w:val="36"/>
          <w:szCs w:val="36"/>
          <w:u w:color="b51700"/>
          <w:rtl w:val="0"/>
          <w:lang w:val="it-IT"/>
          <w14:textFill>
            <w14:solidFill>
              <w14:srgbClr w14:val="B51700"/>
            </w14:solidFill>
          </w14:textFill>
        </w:rPr>
        <w:t xml:space="preserve"> Fondamento teologico del ministero</w:t>
      </w:r>
    </w:p>
    <w:p>
      <w:pPr>
        <w:pStyle w:val="Di 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1.1. L'Eucaristia, fonte e culmine della vita cristiana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Il fondamento teologico del ministero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anzitutto il mistero dell'Eucaristia, definita dal Concilio Vaticano II 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«</w:t>
      </w:r>
      <w:r>
        <w:rPr>
          <w:rFonts w:ascii="Times Roman" w:hAnsi="Times Roman"/>
          <w:sz w:val="28"/>
          <w:szCs w:val="28"/>
          <w:rtl w:val="0"/>
          <w:lang w:val="pt-PT"/>
        </w:rPr>
        <w:t>fonte e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 culmine di tutta la vita cristiana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» </w:t>
      </w:r>
      <w:r>
        <w:rPr>
          <w:rFonts w:ascii="Times Roman" w:hAnsi="Times Roman"/>
          <w:sz w:val="28"/>
          <w:szCs w:val="28"/>
          <w:rtl w:val="0"/>
          <w:lang w:val="de-DE"/>
        </w:rPr>
        <w:t>(Lumen gentium, 11).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Nell'Eucaristia, Cristo rende presente sacramentalmente il mistero pasquale della sua morte e risurrezione e dona se stesso alla Chiesa come nutrimento spirituale. La Comunione eucaristica non costituisce, dunque, un semplice gesto devozionale o comunitario, ma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partecipazione al Corpo di Cristo, che edifica la Chiesa come suo Corpo mistico.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Da questa centralit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derivano alcune conseguenze: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es-ES_tradnl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s-ES_tradnl"/>
        </w:rPr>
        <w:t>Centralit</w:t>
      </w:r>
      <w:r>
        <w:rPr>
          <w:rFonts w:ascii="Times Roman" w:hAnsi="Times Roman" w:hint="default"/>
          <w:b w:val="1"/>
          <w:bCs w:val="1"/>
          <w:sz w:val="28"/>
          <w:szCs w:val="28"/>
          <w:u w:val="single"/>
          <w:rtl w:val="0"/>
          <w:lang w:val="it-IT"/>
        </w:rPr>
        <w:t xml:space="preserve">à </w:t>
      </w: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it-IT"/>
        </w:rPr>
        <w:t>di Cristo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: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il Ministro non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il protagonista dell'azione liturgica, ma un servitore </w:t>
      </w:r>
      <w:r>
        <w:rPr>
          <w:rFonts w:ascii="Times Roman" w:hAnsi="Times Roman"/>
          <w:sz w:val="28"/>
          <w:szCs w:val="28"/>
          <w:rtl w:val="0"/>
          <w:lang w:val="it-IT"/>
        </w:rPr>
        <w:t>del dono che Cristo offre alla sua Chiesa.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it-IT"/>
        </w:rPr>
        <w:t>Dignit</w:t>
      </w:r>
      <w:r>
        <w:rPr>
          <w:rFonts w:ascii="Times Roman" w:hAnsi="Times Roman" w:hint="default"/>
          <w:b w:val="1"/>
          <w:bCs w:val="1"/>
          <w:sz w:val="28"/>
          <w:szCs w:val="28"/>
          <w:u w:val="single"/>
          <w:rtl w:val="0"/>
          <w:lang w:val="it-IT"/>
        </w:rPr>
        <w:t xml:space="preserve">à </w:t>
      </w: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it-IT"/>
        </w:rPr>
        <w:t>del Sacramento</w:t>
      </w:r>
      <w:r>
        <w:rPr>
          <w:rFonts w:ascii="Times Roman" w:hAnsi="Times Roman"/>
          <w:sz w:val="28"/>
          <w:szCs w:val="28"/>
          <w:rtl w:val="0"/>
          <w:lang w:val="it-IT"/>
        </w:rPr>
        <w:t>: il Corpo eucaristico del Signore deve essere trattato con fede, rispetto e riverenza.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it-IT"/>
        </w:rPr>
        <w:t>Edificazione ecclesiale</w:t>
      </w:r>
      <w:r>
        <w:rPr>
          <w:rFonts w:ascii="Times Roman" w:hAnsi="Times Roman"/>
          <w:sz w:val="28"/>
          <w:szCs w:val="28"/>
          <w:rtl w:val="0"/>
          <w:lang w:val="it-IT"/>
        </w:rPr>
        <w:t>: ricevere la Comunione significa essere incorporati pi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ù </w:t>
      </w:r>
      <w:r>
        <w:rPr>
          <w:rFonts w:ascii="Times Roman" w:hAnsi="Times Roman"/>
          <w:sz w:val="28"/>
          <w:szCs w:val="28"/>
          <w:rtl w:val="0"/>
          <w:lang w:val="it-IT"/>
        </w:rPr>
        <w:t>profondamente a Cristo e crescere nella comunione fraterna.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it-IT"/>
        </w:rPr>
        <w:t>Coerenza della vita cristiana</w:t>
      </w:r>
      <w:r>
        <w:rPr>
          <w:rFonts w:ascii="Times Roman" w:hAnsi="Times Roman"/>
          <w:sz w:val="28"/>
          <w:szCs w:val="28"/>
          <w:rtl w:val="0"/>
          <w:lang w:val="it-IT"/>
        </w:rPr>
        <w:t>: il servizio eucaristico esige una vita alimentata dalla preghiera, dalla carit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e dalla testimonianza evangelica.</w:t>
      </w:r>
      <w:r>
        <w:rPr>
          <w:rFonts w:ascii="Times Roman" w:cs="Times Roman" w:hAnsi="Times Roman" w:eastAsia="Times Roman"/>
          <w:sz w:val="28"/>
          <w:szCs w:val="28"/>
        </w:rPr>
        <w:br w:type="textWrapping"/>
        <w:br w:type="textWrapping"/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Il Ministro straordinario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pertanto chiamato a comprendere che il gesto compiuto durante la liturgia rimanda a una realt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che lo precede e lo supera: il dono di Cristo alla sua Chiesa.</w:t>
      </w:r>
    </w:p>
    <w:p>
      <w:pPr>
        <w:pStyle w:val="Di 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1.2. Il fondamento battesimale e la </w:t>
      </w:r>
      <w:r>
        <w:rPr>
          <w:rFonts w:ascii="Times Roman" w:hAnsi="Times Roman"/>
          <w:b w:val="1"/>
          <w:bCs w:val="1"/>
          <w:i w:val="1"/>
          <w:iCs w:val="1"/>
          <w:sz w:val="28"/>
          <w:szCs w:val="28"/>
          <w:u w:val="single"/>
          <w:rtl w:val="0"/>
          <w:lang w:val="it-IT"/>
        </w:rPr>
        <w:t>ministerialit</w:t>
      </w:r>
      <w:r>
        <w:rPr>
          <w:rFonts w:ascii="Times Roman" w:hAnsi="Times Roman" w:hint="default"/>
          <w:b w:val="1"/>
          <w:bCs w:val="1"/>
          <w:i w:val="1"/>
          <w:iCs w:val="1"/>
          <w:sz w:val="28"/>
          <w:szCs w:val="28"/>
          <w:u w:val="single"/>
          <w:rtl w:val="0"/>
          <w:lang w:val="it-IT"/>
        </w:rPr>
        <w:t>à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 ecclesiale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La Chiesa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una comunit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nella quale tutti i fedeli, in forza del Battesimo, partecipano alla missione sacerdotale, profetica e regale di Cristo, secondo la propria condizione e vocazione.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Concilio Vaticano II, nella costituzione Lumen gentium, distingue il sacerdozio comune dei fedeli dal sacerdozio ministeriale, precisando che essi differiscono essenzialmente e non soltanto di grado, pur essendo ordinati l'uno all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’</w:t>
      </w:r>
      <w:r>
        <w:rPr>
          <w:rFonts w:ascii="Times Roman" w:hAnsi="Times Roman"/>
          <w:sz w:val="28"/>
          <w:szCs w:val="28"/>
          <w:rtl w:val="0"/>
          <w:lang w:val="it-IT"/>
        </w:rPr>
        <w:t>altro (n. 10).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ministero straordinario della Comunione si comprende all'interno di questa variet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ordinata di servizi ecclesiali. Esso non deriva da un potere autonomo del fedele, n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 xml:space="preserve">é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costituisce una forma di ministero ordinato, ma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affidato dalla </w:t>
      </w:r>
      <w:r>
        <w:rPr>
          <w:rFonts w:ascii="Times Roman" w:hAnsi="Times Roman"/>
          <w:sz w:val="28"/>
          <w:szCs w:val="28"/>
          <w:rtl w:val="0"/>
          <w:lang w:val="fr-FR"/>
        </w:rPr>
        <w:t>competente autorit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ecclesiastica per rispondere a specifiche necessit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pastorali.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Ne conseguono tre principi: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it-IT"/>
        </w:rPr>
        <w:t>Partecipazione</w:t>
      </w:r>
      <w:r>
        <w:rPr>
          <w:rFonts w:ascii="Times Roman" w:hAnsi="Times Roman"/>
          <w:sz w:val="28"/>
          <w:szCs w:val="28"/>
          <w:rtl w:val="0"/>
          <w:lang w:val="it-IT"/>
        </w:rPr>
        <w:t>: il fedele collabora alla missione della Chiesa in forza della propria vocazione battesimale.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it-IT"/>
        </w:rPr>
        <w:t>Mandato ecclesiale</w:t>
      </w:r>
      <w:r>
        <w:rPr>
          <w:rFonts w:ascii="Times Roman" w:hAnsi="Times Roman"/>
          <w:sz w:val="28"/>
          <w:szCs w:val="28"/>
          <w:rtl w:val="0"/>
          <w:lang w:val="it-IT"/>
        </w:rPr>
        <w:t>: il servizio viene esercitato secondo le disposizioni dell'autorit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competente, non per iniziativa individuale.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it-IT"/>
        </w:rPr>
        <w:t>Distinzione dei ministeri</w:t>
      </w:r>
      <w:r>
        <w:rPr>
          <w:rFonts w:ascii="Times Roman" w:hAnsi="Times Roman"/>
          <w:sz w:val="28"/>
          <w:szCs w:val="28"/>
          <w:rtl w:val="0"/>
          <w:lang w:val="it-IT"/>
        </w:rPr>
        <w:t>: il Ministro straordinario non sostituisce ordinariamente il sacerdote o il diacono, ai quali compete in primo luogo la distribuzione della Comunione.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carattere straordinario del ministero esprime precisamente questa collocazione: si tratta di un servizio reale e prezioso, ma circoscritto dalle norme liturgiche e dalle necessit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pastorali.</w:t>
      </w:r>
    </w:p>
    <w:p>
      <w:pPr>
        <w:pStyle w:val="Di 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1.3. Il significato del termine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«</w:t>
      </w:r>
      <w:r>
        <w:rPr>
          <w:rFonts w:ascii="Times Roman" w:hAnsi="Times Roman"/>
          <w:b w:val="1"/>
          <w:bCs w:val="1"/>
          <w:i w:val="1"/>
          <w:iCs w:val="1"/>
          <w:sz w:val="28"/>
          <w:szCs w:val="28"/>
          <w:u w:val="single"/>
          <w:rtl w:val="0"/>
          <w:lang w:val="it-IT"/>
        </w:rPr>
        <w:t>straordinario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it-IT"/>
        </w:rPr>
        <w:t>»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Il termine 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«</w:t>
      </w:r>
      <w:r>
        <w:rPr>
          <w:rFonts w:ascii="Times Roman" w:hAnsi="Times Roman"/>
          <w:sz w:val="28"/>
          <w:szCs w:val="28"/>
          <w:rtl w:val="0"/>
          <w:lang w:val="it-IT"/>
        </w:rPr>
        <w:t>straordinario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» </w:t>
      </w:r>
      <w:r>
        <w:rPr>
          <w:rFonts w:ascii="Times Roman" w:hAnsi="Times Roman"/>
          <w:sz w:val="28"/>
          <w:szCs w:val="28"/>
          <w:rtl w:val="0"/>
          <w:lang w:val="it-IT"/>
        </w:rPr>
        <w:t>non indica una dignit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superiore, una particolare consacrazione o un privilegio personale.Esprime piuttosto la natura specifica dell'incarico, distinto da quello dei ministri ordinari della Comunione, cio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vescovi, presbiteri e diaconi.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Secondo l'istruzione I</w:t>
      </w:r>
      <w:r>
        <w:rPr>
          <w:rFonts w:ascii="Times Roman" w:hAnsi="Times Roman"/>
          <w:i w:val="1"/>
          <w:iCs w:val="1"/>
          <w:sz w:val="28"/>
          <w:szCs w:val="28"/>
          <w:rtl w:val="0"/>
          <w:lang w:val="it-IT"/>
        </w:rPr>
        <w:t>mmensae caritatis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 della Congregazione per la Disciplina dei Sacramenti (1973) e l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’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istruzione </w:t>
      </w:r>
      <w:r>
        <w:rPr>
          <w:rFonts w:ascii="Times Roman" w:hAnsi="Times Roman"/>
          <w:i w:val="1"/>
          <w:iCs w:val="1"/>
          <w:sz w:val="28"/>
          <w:szCs w:val="28"/>
          <w:rtl w:val="0"/>
          <w:lang w:val="it-IT"/>
        </w:rPr>
        <w:t>Redemptionis sacramentum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 della Congregazione per il Culto Divino e la Disciplina dei Sacramenti (2004), il ricorso a questi ministri deve essere giustificato da una reale necessit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pastorale.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Il loro intervento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opportuno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, in particolare,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quando</w:t>
      </w:r>
      <w:r>
        <w:rPr>
          <w:rFonts w:ascii="Times Roman" w:hAnsi="Times Roman"/>
          <w:sz w:val="28"/>
          <w:szCs w:val="28"/>
          <w:rtl w:val="0"/>
          <w:lang w:val="it-IT"/>
        </w:rPr>
        <w:t>:</w:t>
      </w:r>
    </w:p>
    <w:p>
      <w:pPr>
        <w:pStyle w:val="Di default"/>
        <w:numPr>
          <w:ilvl w:val="0"/>
          <w:numId w:val="4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mancano ministri ordinari </w:t>
      </w:r>
      <w:r>
        <w:rPr>
          <w:rFonts w:ascii="Times Roman" w:hAnsi="Times Roman"/>
          <w:sz w:val="28"/>
          <w:szCs w:val="28"/>
          <w:rtl w:val="0"/>
          <w:lang w:val="it-IT"/>
        </w:rPr>
        <w:t>disponibili;</w:t>
      </w:r>
    </w:p>
    <w:p>
      <w:pPr>
        <w:pStyle w:val="Di default"/>
        <w:numPr>
          <w:ilvl w:val="0"/>
          <w:numId w:val="4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il numero dei comunicandi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tale da prolungare eccessivamente </w:t>
      </w:r>
      <w:r>
        <w:rPr>
          <w:rFonts w:ascii="Times Roman" w:hAnsi="Times Roman"/>
          <w:sz w:val="28"/>
          <w:szCs w:val="28"/>
          <w:rtl w:val="0"/>
          <w:lang w:val="it-IT"/>
        </w:rPr>
        <w:t>la celebrazione;</w:t>
      </w:r>
    </w:p>
    <w:p>
      <w:pPr>
        <w:pStyle w:val="Di default"/>
        <w:numPr>
          <w:ilvl w:val="0"/>
          <w:numId w:val="5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 w:hint="default"/>
          <w:b w:val="1"/>
          <w:bCs w:val="1"/>
          <w:sz w:val="28"/>
          <w:szCs w:val="28"/>
          <w:rtl w:val="0"/>
          <w:lang w:val="it-IT"/>
        </w:rPr>
      </w:pP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necessario portare la Comunione agli infermi e agli anziani che non possono partecipare alla Messa.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Il principio teologico e pastorale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chiaro: il ministero straordinario serve la partecipazione dei fedeli all'Eucaristia, senza alterare la struttura propria dei ministeri liturgici.</w:t>
      </w:r>
    </w:p>
    <w:p>
      <w:pPr>
        <w:pStyle w:val="Di 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 xml:space="preserve">2. La </w:t>
      </w:r>
      <w:r>
        <w:rPr>
          <w:rFonts w:ascii="Times Roman" w:hAnsi="Times Roman"/>
          <w:b w:val="1"/>
          <w:bCs w:val="1"/>
          <w:outline w:val="0"/>
          <w:color w:val="b51700"/>
          <w:sz w:val="36"/>
          <w:szCs w:val="36"/>
          <w:u w:color="b51700"/>
          <w:rtl w:val="0"/>
          <w:lang w:val="it-IT"/>
          <w14:textFill>
            <w14:solidFill>
              <w14:srgbClr w14:val="B51700"/>
            </w14:solidFill>
          </w14:textFill>
        </w:rPr>
        <w:t>dimensione propriamente liturgica</w:t>
      </w:r>
    </w:p>
    <w:p>
      <w:pPr>
        <w:pStyle w:val="Di default"/>
        <w:suppressAutoHyphens w:val="1"/>
        <w:spacing w:before="0" w:after="281" w:line="240" w:lineRule="auto"/>
        <w:jc w:val="both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2.1. Il ministero all'interno della celebrazione eucaristica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La liturgia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azione di Cristo e della Chiesa; non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una semplice riunione comunitaria, n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 xml:space="preserve">é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un insieme di gesti liberamente modificabili secondo le preferenze dei partecipanti. Nella celebrazione eucaristica, ogni ministro e ogni fedele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chiamato a svolgere il proprio compito secondo la natura del rito e le norme stabilite dalla Chiesa.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La costituzione conciliare Sacrosanctum Concilium, al n. 28, afferma che ciascuno, ministro o fedele, deve compiere 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«</w:t>
      </w:r>
      <w:r>
        <w:rPr>
          <w:rFonts w:ascii="Times Roman" w:hAnsi="Times Roman"/>
          <w:sz w:val="28"/>
          <w:szCs w:val="28"/>
          <w:rtl w:val="0"/>
          <w:lang w:val="it-IT"/>
        </w:rPr>
        <w:t>tutto e soltanto ci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ò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che, secondo la natura del rito e le norme liturgiche,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di sua competenza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»</w:t>
      </w:r>
      <w:r>
        <w:rPr>
          <w:rFonts w:ascii="Times Roman" w:hAnsi="Times Roman"/>
          <w:sz w:val="28"/>
          <w:szCs w:val="28"/>
          <w:rtl w:val="0"/>
          <w:lang w:val="it-IT"/>
        </w:rPr>
        <w:t>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Questo principio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decisivo per comprendere il servizio del Ministro straordinario della Comunione.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suo compito non consiste nel presiedere la liturgia, nell'esercitare una funzione sacerdotale o nel sostituire stabilmente i ministri ordinari, ma nel collaborare affinch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 xml:space="preserve">é </w:t>
      </w:r>
      <w:r>
        <w:rPr>
          <w:rFonts w:ascii="Times Roman" w:hAnsi="Times Roman"/>
          <w:sz w:val="28"/>
          <w:szCs w:val="28"/>
          <w:rtl w:val="0"/>
          <w:lang w:val="it-IT"/>
        </w:rPr>
        <w:t>la distribuzione della Comunione avvenga in modo dignitoso, ordinato e conforme alle disposizioni ecclesiastiche.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Occorre pertanto distinguere: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presidenza eucaristica, che compete al sacerdote ordinato.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distribuzione ordinaria della Comunione, che compete al vescovo, al presbitero e al diacono.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servizio straordinario della Comunione, affidato a un accolito istituito o a un altro fedele legittimamente deputato, nei casi previsti dalle norme della Chiesa.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Il Ministro straordinario non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dunque un ministro ordinario alternativo, ma un collaboratore che interviene in circostanze determinate, nel rispetto della struttura ministeriale della liturgia.</w:t>
      </w:r>
    </w:p>
    <w:p>
      <w:pPr>
        <w:pStyle w:val="Di 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2.2. La distribuzione della Comunione come gesto sacramentale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Il gesto di consegnare l'Ostia consacrata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semplice nella sua forma esteriore, ma profondo nel suo significato teologico. Il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 </w:t>
      </w:r>
      <w:r>
        <w:rPr>
          <w:rFonts w:ascii="Times Roman" w:hAnsi="Times Roman"/>
          <w:sz w:val="28"/>
          <w:szCs w:val="28"/>
          <w:rtl w:val="0"/>
          <w:lang w:val="it-IT"/>
        </w:rPr>
        <w:t>Ministro straordinario si trova a servire il momento in cui il fedele riceve sacramentalmente il Corpo di Cristo.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gesto liturgico esige quindi tre atteggiamenti fondamentali:</w:t>
      </w:r>
    </w:p>
    <w:p>
      <w:pPr>
        <w:pStyle w:val="Di default"/>
        <w:numPr>
          <w:ilvl w:val="0"/>
          <w:numId w:val="7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Fede eucaristica: riconoscere la presenza reale di Cristo nel Sacramento.</w:t>
      </w:r>
    </w:p>
    <w:p>
      <w:pPr>
        <w:pStyle w:val="Di default"/>
        <w:numPr>
          <w:ilvl w:val="0"/>
          <w:numId w:val="7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Riverenza rituale: compiere ogni gesto con compostezza, attenzione e rispetto, senza fretta n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 xml:space="preserve">é </w:t>
      </w:r>
      <w:r>
        <w:rPr>
          <w:rFonts w:ascii="Times Roman" w:hAnsi="Times Roman"/>
          <w:sz w:val="28"/>
          <w:szCs w:val="28"/>
          <w:rtl w:val="0"/>
          <w:lang w:val="it-IT"/>
        </w:rPr>
        <w:t>teatralit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à</w:t>
      </w:r>
      <w:r>
        <w:rPr>
          <w:rFonts w:ascii="Times Roman" w:hAnsi="Times Roman"/>
          <w:sz w:val="28"/>
          <w:szCs w:val="28"/>
          <w:rtl w:val="0"/>
          <w:lang w:val="it-IT"/>
        </w:rPr>
        <w:t>.</w:t>
      </w:r>
    </w:p>
    <w:p>
      <w:pPr>
        <w:pStyle w:val="Di default"/>
        <w:numPr>
          <w:ilvl w:val="0"/>
          <w:numId w:val="7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Carit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ecclesiale: servire ogni comunicando con uguale dignit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à</w:t>
      </w:r>
      <w:r>
        <w:rPr>
          <w:rFonts w:ascii="Times Roman" w:hAnsi="Times Roman"/>
          <w:sz w:val="28"/>
          <w:szCs w:val="28"/>
          <w:rtl w:val="0"/>
          <w:lang w:val="it-IT"/>
        </w:rPr>
        <w:t>, senza preferenze, distinzioni arbitrarie o atteggiamenti discriminatori.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Le parole pronunciate durante la distribuzione della Comunione 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— «</w:t>
      </w:r>
      <w:r>
        <w:rPr>
          <w:rFonts w:ascii="Times Roman" w:hAnsi="Times Roman"/>
          <w:sz w:val="28"/>
          <w:szCs w:val="28"/>
          <w:rtl w:val="0"/>
          <w:lang w:val="it-IT"/>
        </w:rPr>
        <w:t>Il Corpo di Cristo</w:t>
      </w:r>
      <w:r>
        <w:rPr>
          <w:rFonts w:ascii="Times Roman" w:hAnsi="Times Roman" w:hint="default"/>
          <w:sz w:val="28"/>
          <w:szCs w:val="28"/>
          <w:rtl w:val="0"/>
          <w:lang w:val="en-US"/>
        </w:rPr>
        <w:t xml:space="preserve">» — </w:t>
      </w:r>
      <w:r>
        <w:rPr>
          <w:rFonts w:ascii="Times Roman" w:hAnsi="Times Roman"/>
          <w:sz w:val="28"/>
          <w:szCs w:val="28"/>
          <w:rtl w:val="0"/>
          <w:lang w:val="it-IT"/>
        </w:rPr>
        <w:t>non sono una formula accessoria. Esse esprimono la realt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sacramentale che viene offerta e richiedono la risposta di fede del comunicando: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«</w:t>
      </w:r>
      <w:r>
        <w:rPr>
          <w:rFonts w:ascii="Times Roman" w:hAnsi="Times Roman"/>
          <w:sz w:val="28"/>
          <w:szCs w:val="28"/>
          <w:rtl w:val="0"/>
          <w:lang w:val="en-US"/>
        </w:rPr>
        <w:t>Amen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»</w:t>
      </w:r>
      <w:r>
        <w:rPr>
          <w:rFonts w:ascii="Times Roman" w:hAnsi="Times Roman"/>
          <w:sz w:val="28"/>
          <w:szCs w:val="28"/>
          <w:rtl w:val="0"/>
          <w:lang w:val="it-IT"/>
        </w:rPr>
        <w:t>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Il Ministro non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chiamato ad aggiungere commenti personali, a trasformare il momento in un'occasione di catechesi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 </w:t>
      </w:r>
      <w:r>
        <w:rPr>
          <w:rFonts w:ascii="Times Roman" w:hAnsi="Times Roman"/>
          <w:sz w:val="28"/>
          <w:szCs w:val="28"/>
          <w:rtl w:val="0"/>
          <w:lang w:val="it-IT"/>
        </w:rPr>
        <w:t>improvvisata o a modificare le formule liturgiche. La sobriet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del rito manifesta che il dono ricevuto non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prodotto dalla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 </w:t>
      </w:r>
      <w:r>
        <w:rPr>
          <w:rFonts w:ascii="Times Roman" w:hAnsi="Times Roman"/>
          <w:sz w:val="28"/>
          <w:szCs w:val="28"/>
          <w:rtl w:val="0"/>
          <w:lang w:val="it-IT"/>
        </w:rPr>
        <w:t>comunit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à</w:t>
      </w:r>
      <w:r>
        <w:rPr>
          <w:rFonts w:ascii="Times Roman" w:hAnsi="Times Roman"/>
          <w:sz w:val="28"/>
          <w:szCs w:val="28"/>
          <w:rtl w:val="0"/>
          <w:lang w:val="it-IT"/>
        </w:rPr>
        <w:t>, ma proviene da Cristo.</w:t>
      </w:r>
    </w:p>
    <w:p>
      <w:pPr>
        <w:pStyle w:val="Di 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2.3. La custodia delle specie eucaristiche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dimensione liturgica comprende anche la corretta custodia e il trattamento delle specie consacrate.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Ministro straordinario deve conoscere e osservare le norme relative alla distribuzione della Comunione, alla purificazione quando prevista dalle disposizioni liturgiche, al trasporto del Sacramento agli infermi e alla sua restituzione al luogo di conservazione, secondo le competenze e le indicazioni ricevute.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In particolare,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necessario: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evitare ogni gesto frettoloso o distratto;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prestare attenzione a eventuali frammenti delle specie consacrate;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rispettare le norme previste per la Comunione sotto le due specie, qualora sia autorizzata;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utilizzare la pisside e gli altri oggetti liturgici con la dovuta riverenza;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osservare le indicazioni del sacerdote responsabile circa la conservazione e il trasporto dell'Eucaristia.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Non si tratta di un formalismo esteriore. La cura dei segni manifesta la fede nella realt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significata: Cristo stesso, realmente presente sotto le specie eucaristiche.</w:t>
      </w:r>
    </w:p>
    <w:p>
      <w:pPr>
        <w:pStyle w:val="Di 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outline w:val="0"/>
          <w:color w:val="b51700"/>
          <w:sz w:val="36"/>
          <w:szCs w:val="36"/>
          <w:u w:color="b51700"/>
          <w14:textFill>
            <w14:solidFill>
              <w14:srgbClr w14:val="B51700"/>
            </w14:solidFill>
          </w14:textFill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 xml:space="preserve">3. Il servizio agli infermi e agli anziani: </w:t>
      </w:r>
      <w:r>
        <w:rPr>
          <w:rFonts w:ascii="Times Roman" w:hAnsi="Times Roman"/>
          <w:b w:val="1"/>
          <w:bCs w:val="1"/>
          <w:outline w:val="0"/>
          <w:color w:val="b51700"/>
          <w:sz w:val="36"/>
          <w:szCs w:val="36"/>
          <w:u w:color="b51700"/>
          <w:rtl w:val="0"/>
          <w:lang w:val="it-IT"/>
          <w14:textFill>
            <w14:solidFill>
              <w14:srgbClr w14:val="B51700"/>
            </w14:solidFill>
          </w14:textFill>
        </w:rPr>
        <w:t>dimensione ecclesiale e pastorale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Una delle espressioni pi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ù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significative del ministero straordinario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il servizio della Comunione agli infermi, agli anziani e a quanti, per ragioni di salute o altre condizioni legittimamente riconosciute, non possono partecipare alla celebrazione comunitaria.</w:t>
      </w:r>
    </w:p>
    <w:p>
      <w:pPr>
        <w:pStyle w:val="Di 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3.1. Rendere presente la comunit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ecclesiale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Portare la Comunione a una persona impossibilitata a recarsi in chiesa non significa soltanto soddisfare un bisogno religioso individuale. Significa manifestare che l'infermo rimane membro vivo della comunit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cristiana e partecipa, secondo la propria condizione, alla comunione ecclesiale.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malattia, la fragilit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e la solitudine possono limitare la partecipazione fisica alla vita parrocchiale, ma non interrompono l'appartenenza alla Chiesa.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Ministro straordinario diventa cos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ì </w:t>
      </w:r>
      <w:r>
        <w:rPr>
          <w:rFonts w:ascii="Times Roman" w:hAnsi="Times Roman"/>
          <w:sz w:val="28"/>
          <w:szCs w:val="28"/>
          <w:rtl w:val="0"/>
          <w:lang w:val="it-IT"/>
        </w:rPr>
        <w:t>un segno concreto della sollecitudine della comunit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à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, che raggiunge chi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impedito egli porta il nutrimento sacramentale.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sua presenza pu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ò </w:t>
      </w:r>
      <w:r>
        <w:rPr>
          <w:rFonts w:ascii="Times Roman" w:hAnsi="Times Roman"/>
          <w:sz w:val="28"/>
          <w:szCs w:val="28"/>
          <w:rtl w:val="0"/>
          <w:lang w:val="it-IT"/>
        </w:rPr>
        <w:t>esprimere: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vicinanza della comunit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parrocchiale;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continuit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del legame con la celebrazione eucaristica;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dignit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spirituale della persona anziana o malata;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speranza cristiana anche nelle situazioni di sofferenza.</w:t>
      </w:r>
    </w:p>
    <w:p>
      <w:pPr>
        <w:pStyle w:val="Di 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3.2. Il rito della Comunione fuori della Messa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Comunione agli infermi deve essere celebrata secondo il rito previsto dalla Chiesa, non come una visita privata nella quale il Sacramento viene semplicemente consegnato.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rito della Comunione fuori della Messa, opportunamente adattato alle condizioni della persona, comprende normalmente l'accoglienza, la liturgia della Parola, quando possibile, la recita del Padre nostro, la distribuzione della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 </w:t>
      </w:r>
      <w:r>
        <w:rPr>
          <w:rFonts w:ascii="Times Roman" w:hAnsi="Times Roman"/>
          <w:sz w:val="28"/>
          <w:szCs w:val="28"/>
          <w:rtl w:val="0"/>
          <w:lang w:val="it-IT"/>
        </w:rPr>
        <w:t>Comunione e la preghiera conclusiva.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Quando le condizioni del malato non consentono di svolgere tutte le parti del rito, si seguono le disposizioni liturgiche appropriate.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Ministro deve inoltre valutare con sensibilit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le condizioni concrete della persona: capacit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di ascolto, possibilit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di rispondere, difficolt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fisiche e necessit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di un ambiente rispettoso. La celebrazione non deve mai diventare un peso per chi riceve il Sacramento.</w:t>
      </w:r>
    </w:p>
    <w:p>
      <w:pPr>
        <w:pStyle w:val="Di 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3.3. La carit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come forma del ministero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servizio agli infermi rivela che il ministero eucaristico non pu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ò </w:t>
      </w:r>
      <w:r>
        <w:rPr>
          <w:rFonts w:ascii="Times Roman" w:hAnsi="Times Roman"/>
          <w:sz w:val="28"/>
          <w:szCs w:val="28"/>
          <w:rtl w:val="0"/>
          <w:lang w:val="it-IT"/>
        </w:rPr>
        <w:t>essere separato dalla carit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à</w:t>
      </w:r>
      <w:r>
        <w:rPr>
          <w:rFonts w:ascii="Times Roman" w:hAnsi="Times Roman"/>
          <w:sz w:val="28"/>
          <w:szCs w:val="28"/>
          <w:rtl w:val="0"/>
          <w:lang w:val="it-IT"/>
        </w:rPr>
        <w:t>. L'Eucaristia edifica laChiesa come comunione e spinge i fedeli a riconoscere Cristo nei fratelli, soprattutto nei pi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ù </w:t>
      </w:r>
      <w:r>
        <w:rPr>
          <w:rFonts w:ascii="Times Roman" w:hAnsi="Times Roman"/>
          <w:sz w:val="28"/>
          <w:szCs w:val="28"/>
          <w:rtl w:val="0"/>
          <w:lang w:val="it-IT"/>
        </w:rPr>
        <w:t>fragili.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Ministro straordinario non sostituisce il sacerdote nel discernimento sacramentale e nella cura pastorale, n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 xml:space="preserve">é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si improvvisa assistente sanitario o consulente psicologico.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per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ò </w:t>
      </w:r>
      <w:r>
        <w:rPr>
          <w:rFonts w:ascii="Times Roman" w:hAnsi="Times Roman"/>
          <w:sz w:val="28"/>
          <w:szCs w:val="28"/>
          <w:rtl w:val="0"/>
          <w:lang w:val="it-IT"/>
        </w:rPr>
        <w:t>chiamato ad ascoltare, accompagnare, rispettare la riservatezza e segnalare al sacerdote eventuali necessit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spirituali che richiedano un intervento specifico.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La sua missione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dunque sacramentale e relazionale: portare Cristo e, insieme, manifestare con discrezione la vicinanza della Chiesa.</w:t>
      </w:r>
    </w:p>
    <w:p>
      <w:pPr>
        <w:pStyle w:val="Di 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outline w:val="0"/>
          <w:color w:val="b51700"/>
          <w:sz w:val="36"/>
          <w:szCs w:val="36"/>
          <w:u w:color="b51700"/>
          <w14:textFill>
            <w14:solidFill>
              <w14:srgbClr w14:val="B51700"/>
            </w14:solidFill>
          </w14:textFill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 xml:space="preserve">4. La </w:t>
      </w:r>
      <w:r>
        <w:rPr>
          <w:rFonts w:ascii="Times Roman" w:hAnsi="Times Roman"/>
          <w:b w:val="1"/>
          <w:bCs w:val="1"/>
          <w:outline w:val="0"/>
          <w:color w:val="b51700"/>
          <w:sz w:val="36"/>
          <w:szCs w:val="36"/>
          <w:u w:color="b51700"/>
          <w:rtl w:val="0"/>
          <w:lang w:val="it-IT"/>
          <w14:textFill>
            <w14:solidFill>
              <w14:srgbClr w14:val="B51700"/>
            </w14:solidFill>
          </w14:textFill>
        </w:rPr>
        <w:t>dimensione spirituale del Ministro straordinario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preparazione tecnica e la conoscenza delle norme liturgiche sono indispensabili, ma non sufficienti. Il ministero richiede una formazione spirituale continua, perch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 xml:space="preserve">é </w:t>
      </w:r>
      <w:r>
        <w:rPr>
          <w:rFonts w:ascii="Times Roman" w:hAnsi="Times Roman"/>
          <w:sz w:val="28"/>
          <w:szCs w:val="28"/>
          <w:rtl w:val="0"/>
          <w:lang w:val="it-IT"/>
        </w:rPr>
        <w:t>il servizio esteriore sia espressione di un'autentica vita di fede.</w:t>
      </w:r>
    </w:p>
    <w:p>
      <w:pPr>
        <w:pStyle w:val="Di 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4.1. Una spiritualit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eucaristica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spiritualit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del Ministro deve essere alimentata dalla partecipazione regolare alla Messa, dalla preghiera personale, dall'adorazione eucaristica, quando possibile, e dalla meditazione della Parola di Dio.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Non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coerente servire abitualmente la Comunione senza coltivare un rapporto personale con Cristo, n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 xml:space="preserve">é </w:t>
      </w:r>
      <w:r>
        <w:rPr>
          <w:rFonts w:ascii="Times Roman" w:hAnsi="Times Roman"/>
          <w:sz w:val="28"/>
          <w:szCs w:val="28"/>
          <w:rtl w:val="0"/>
          <w:lang w:val="it-IT"/>
        </w:rPr>
        <w:t>considerare il ministero come una funzione da svolgere meccanicamente.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spiritualit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eucaristica comporta: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u w:val="single"/>
          <w:rtl w:val="0"/>
          <w:lang w:val="it-IT"/>
        </w:rPr>
        <w:t>Adorazione</w:t>
      </w:r>
      <w:r>
        <w:rPr>
          <w:rFonts w:ascii="Times Roman" w:hAnsi="Times Roman"/>
          <w:sz w:val="28"/>
          <w:szCs w:val="28"/>
          <w:rtl w:val="0"/>
          <w:lang w:val="it-IT"/>
        </w:rPr>
        <w:t>: riconoscere la presenza di Cristo e sostare davanti a lui con fede.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u w:val="single"/>
          <w:rtl w:val="0"/>
          <w:lang w:val="it-IT"/>
        </w:rPr>
        <w:t>Ringraziamento</w:t>
      </w:r>
      <w:r>
        <w:rPr>
          <w:rFonts w:ascii="Times Roman" w:hAnsi="Times Roman"/>
          <w:sz w:val="28"/>
          <w:szCs w:val="28"/>
          <w:rtl w:val="0"/>
          <w:lang w:val="it-IT"/>
        </w:rPr>
        <w:t>: accogliere l'Eucaristia come dono gratuito della grazia.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u w:val="single"/>
          <w:rtl w:val="0"/>
          <w:lang w:val="it-IT"/>
        </w:rPr>
        <w:t>Conversione</w:t>
      </w:r>
      <w:r>
        <w:rPr>
          <w:rFonts w:ascii="Times Roman" w:hAnsi="Times Roman"/>
          <w:sz w:val="28"/>
          <w:szCs w:val="28"/>
          <w:rtl w:val="0"/>
          <w:lang w:val="it-IT"/>
        </w:rPr>
        <w:t>: lasciarsi trasformare dal Sacramento ricevuto e servito.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u w:val="single"/>
          <w:rtl w:val="0"/>
          <w:lang w:val="it-IT"/>
        </w:rPr>
        <w:t>Comunione</w:t>
      </w:r>
      <w:r>
        <w:rPr>
          <w:rFonts w:ascii="Times Roman" w:hAnsi="Times Roman"/>
          <w:sz w:val="28"/>
          <w:szCs w:val="28"/>
          <w:rtl w:val="0"/>
          <w:lang w:val="it-IT"/>
        </w:rPr>
        <w:t>: superare individualismo, rivalit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e ricerca di riconoscimento.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u w:val="single"/>
          <w:rtl w:val="0"/>
          <w:lang w:val="it-IT"/>
        </w:rPr>
        <w:t>Missione</w:t>
      </w:r>
      <w:r>
        <w:rPr>
          <w:rFonts w:ascii="Times Roman" w:hAnsi="Times Roman"/>
          <w:sz w:val="28"/>
          <w:szCs w:val="28"/>
          <w:rtl w:val="0"/>
          <w:lang w:val="it-IT"/>
        </w:rPr>
        <w:t>: tradurre nella vita quotidiana il dono dell'amore ricevuto.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credibilit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del Ministro non dipende da una presunta superiorit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spirituale, ma dalla coerenza con cui cerca di conformare la propria vita al Vangelo.</w:t>
      </w:r>
    </w:p>
    <w:p>
      <w:pPr>
        <w:pStyle w:val="Di 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pt-PT"/>
        </w:rPr>
        <w:t>4.2. Umilt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e senso del servizio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Ministro straordinario non riceve un titolo onorifico, ma un incarico ecclesiale. Il suo servizio non dovrebbe diventare occasione di prestigio personale, di visibilit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o di rivendicazione di potere all'interno della comunit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à</w:t>
      </w:r>
      <w:r>
        <w:rPr>
          <w:rFonts w:ascii="Times Roman" w:hAnsi="Times Roman"/>
          <w:sz w:val="28"/>
          <w:szCs w:val="28"/>
          <w:rtl w:val="0"/>
          <w:lang w:val="it-IT"/>
        </w:rPr>
        <w:t>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L'umilt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si manifesta nel rispetto dei sacerdoti e dei diaconi, nella collaborazione con gli altri operatori pastorali, nell'accettazione delle disposizioni del parroco e dell'autorit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ecclesiastica competente e nella disponibilit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a svolgere il servizio senza cercare riconoscimenti.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essenziale comprendere che la dignit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del ministero deriva dalla grandezza del Sacramento servito, non dall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’</w:t>
      </w:r>
      <w:r>
        <w:rPr>
          <w:rFonts w:ascii="Times Roman" w:hAnsi="Times Roman"/>
          <w:sz w:val="28"/>
          <w:szCs w:val="28"/>
          <w:rtl w:val="0"/>
          <w:lang w:val="it-IT"/>
        </w:rPr>
        <w:t>importanza sociale di chi lo esercita.</w:t>
      </w:r>
    </w:p>
    <w:p>
      <w:pPr>
        <w:pStyle w:val="Di 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4.3. Formazione permanente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formazione deve integrare almeno quattro ambiti: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Dottrinale: conoscenza della fede cattolica sull'Eucaristia, sulla presenza reale e sulla comunione ecclesiale.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Liturgico-rituale: conoscenza dei libri liturgici, delle formule e delle norme relative alla distribuzione e al trasporto della Comunione.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Spirituale: coltivazione della preghiera, della vita sacramentale e della conversione personale.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Pastorale: capacit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di relazionarsi con infermi, anziani, persone sole e famiglie con sensibilit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à</w:t>
      </w:r>
      <w:r>
        <w:rPr>
          <w:rFonts w:ascii="Times Roman" w:hAnsi="Times Roman"/>
          <w:sz w:val="28"/>
          <w:szCs w:val="28"/>
          <w:rtl w:val="0"/>
          <w:lang w:val="it-IT"/>
        </w:rPr>
        <w:t>, discrezione e rispetto.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formazione non dovrebbe esaurirsi nel momento del conferimento dell'incarico, ma proseguire attraverso incontri periodici, aggiornamento liturgico e accompagnamento spirituale.</w:t>
      </w:r>
    </w:p>
    <w:p>
      <w:pPr>
        <w:pStyle w:val="Di 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5. I limiti e le responsabilit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it-IT"/>
        </w:rPr>
        <w:t xml:space="preserve">à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del ministero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comprensione teologica del servizio richiede anche una chiara consapevolezza dei suoi limiti. La fedelt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alla disciplina ecclesiale non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un elemento secondario, ma appartiene alla testimonianza di comunione che il ministero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chiamato a esprimere.</w:t>
      </w:r>
    </w:p>
    <w:p>
      <w:pPr>
        <w:pStyle w:val="Di 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5.1. La straordinariet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come criterio normativo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L'istruzione Redemptionis sacramentum (2004), ai nn. 154-160, chiarisce che il Ministro straordinario deve essere denominato propriamente 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«</w:t>
      </w:r>
      <w:r>
        <w:rPr>
          <w:rFonts w:ascii="Times Roman" w:hAnsi="Times Roman"/>
          <w:sz w:val="28"/>
          <w:szCs w:val="28"/>
          <w:rtl w:val="0"/>
          <w:lang w:val="it-IT"/>
        </w:rPr>
        <w:t>Ministro straordinario della santa Comunione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»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, evitando espressioni come 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«</w:t>
      </w:r>
      <w:r>
        <w:rPr>
          <w:rFonts w:ascii="Times Roman" w:hAnsi="Times Roman"/>
          <w:sz w:val="28"/>
          <w:szCs w:val="28"/>
          <w:rtl w:val="0"/>
          <w:lang w:val="pt-PT"/>
        </w:rPr>
        <w:t>ministro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 straordinario dell'Eucaristia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»</w:t>
      </w:r>
      <w:r>
        <w:rPr>
          <w:rFonts w:ascii="Times Roman" w:hAnsi="Times Roman"/>
          <w:sz w:val="28"/>
          <w:szCs w:val="28"/>
          <w:rtl w:val="0"/>
          <w:lang w:val="it-IT"/>
        </w:rPr>
        <w:t>, che attribuirebbero al suo incarico una portata impropria.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n. 158 precisa che egli pu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ò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distribuire la Comunione quando mancano il sacerdote o il diacono, quando il sacerdote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impedito da un motivo serio oppure quando il numero dei comunicandi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tale da prolungare eccessivamente la celebrazione.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norma tutela il significato dei ministeri ordinari e impedisce che una facolt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suppletiva diventi una prassi abituale priva di una reale necessit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à</w:t>
      </w:r>
      <w:r>
        <w:rPr>
          <w:rFonts w:ascii="Times Roman" w:hAnsi="Times Roman"/>
          <w:sz w:val="28"/>
          <w:szCs w:val="28"/>
          <w:rtl w:val="0"/>
          <w:lang w:val="it-IT"/>
        </w:rPr>
        <w:t>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Occorre quindi evitare: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distribuzione della Comunione da parte dei ministri straordinari quando i ministri ordinari disponibili sono sufficienti;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l'assunzione di funzioni proprie del sacerdote o del diacono;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l'uso del ministero come segno di prestigio o di autorit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personale;</w:t>
      </w:r>
    </w:p>
    <w:p>
      <w:pPr>
        <w:pStyle w:val="Di default"/>
        <w:numPr>
          <w:ilvl w:val="0"/>
          <w:numId w:val="2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sz w:val="28"/>
          <w:szCs w:val="28"/>
          <w:rtl w:val="0"/>
          <w:lang w:val="it-IT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l'introduzione di gesti e formule non previsti dai libri liturgici.</w:t>
      </w:r>
    </w:p>
    <w:p>
      <w:pPr>
        <w:pStyle w:val="Di 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5.2. Il mandato e la comunione con il parroco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ministero deve essere esercitato secondo le disposizioni della competente autorit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ecclesiastica e le norme diocesane applicabili. Il can. 230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§ </w:t>
      </w:r>
      <w:r>
        <w:rPr>
          <w:rFonts w:ascii="Times Roman" w:hAnsi="Times Roman"/>
          <w:sz w:val="28"/>
          <w:szCs w:val="28"/>
          <w:rtl w:val="0"/>
          <w:lang w:val="it-IT"/>
        </w:rPr>
        <w:t>3 del Codice di diritto canonico prevede che, quando lo suggerisce la necessit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della Chiesa e mancano i ministri, i laici possano supplire ad alcune funzioni liturgiche secondo il diritto.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conferimento dell'incarico comporta pertanto una responsabilit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concreta: il Ministro deve conoscere l'ambito del mandato ricevuto, rispettarne la durata e le condizioni e mantenere un rapporto di collaborazione con il parroco e con gli altri ministri.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disponibilit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personale, per quanto generosa, non autorizza a decidere autonomamente quando e come esercitare il ministero.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la Chiesa, attraverso la sua autorit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à</w:t>
      </w:r>
      <w:r>
        <w:rPr>
          <w:rFonts w:ascii="Times Roman" w:hAnsi="Times Roman"/>
          <w:sz w:val="28"/>
          <w:szCs w:val="28"/>
          <w:rtl w:val="0"/>
          <w:lang w:val="it-IT"/>
        </w:rPr>
        <w:t>, a discernere le necessit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e a regolare il servizio.</w:t>
      </w:r>
    </w:p>
    <w:p>
      <w:pPr>
        <w:pStyle w:val="Di 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5.3. Il rispetto della libert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e della dignit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dei fedeli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distribuzione della Comunione deve rispettare le norme liturgiche e le legittime disposizioni pastorali, senza iniziative arbitrarie. Il Ministro deve evitare qualsiasi atteggiamento che possa umiliare il comunicando, esporre pubblicamente situazioni personali o trasformare il momento sacramentale in un giudizio sulla persona.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Nei confronti degli infermi, in particolare,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essenziale rispettare la riservatezza, le condizioni familiari e la libert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personale, coordinandosi con i responsabili pastorali secondo le necessit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à</w:t>
      </w:r>
      <w:r>
        <w:rPr>
          <w:rFonts w:ascii="Times Roman" w:hAnsi="Times Roman"/>
          <w:sz w:val="28"/>
          <w:szCs w:val="28"/>
          <w:rtl w:val="0"/>
          <w:lang w:val="it-IT"/>
        </w:rPr>
        <w:t>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disciplina liturgica, correttamente compresa, non si oppone alla carit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à</w:t>
      </w:r>
      <w:r>
        <w:rPr>
          <w:rFonts w:ascii="Times Roman" w:hAnsi="Times Roman"/>
          <w:sz w:val="28"/>
          <w:szCs w:val="28"/>
          <w:rtl w:val="0"/>
          <w:lang w:val="it-IT"/>
        </w:rPr>
        <w:t>: ne costituisce una forma concreta, perch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 protegge la dignit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del Sacramento e delle persone che lo ricevono.</w:t>
      </w:r>
    </w:p>
    <w:p>
      <w:pPr>
        <w:pStyle w:val="Di 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outline w:val="0"/>
          <w:color w:val="b51700"/>
          <w:sz w:val="36"/>
          <w:szCs w:val="36"/>
          <w:u w:color="b51700"/>
          <w14:textFill>
            <w14:solidFill>
              <w14:srgbClr w14:val="B51700"/>
            </w14:solidFill>
          </w14:textFill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 xml:space="preserve">6. La </w:t>
      </w:r>
      <w:r>
        <w:rPr>
          <w:rFonts w:ascii="Times Roman" w:hAnsi="Times Roman"/>
          <w:b w:val="1"/>
          <w:bCs w:val="1"/>
          <w:outline w:val="0"/>
          <w:color w:val="b51700"/>
          <w:sz w:val="36"/>
          <w:szCs w:val="36"/>
          <w:u w:color="b51700"/>
          <w:rtl w:val="0"/>
          <w:lang w:val="it-IT"/>
          <w14:textFill>
            <w14:solidFill>
              <w14:srgbClr w14:val="B51700"/>
            </w14:solidFill>
          </w14:textFill>
        </w:rPr>
        <w:t>sintesi teologico-liturgica del ministero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Le diverse dimensioni considerate possono essere ricondotte a cinque nuclei fondamentali.</w:t>
      </w:r>
    </w:p>
    <w:tbl>
      <w:tblPr>
        <w:tblW w:w="9411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704"/>
        <w:gridCol w:w="3765"/>
        <w:gridCol w:w="3942"/>
      </w:tblGrid>
      <w:tr>
        <w:tblPrEx>
          <w:shd w:val="clear" w:color="auto" w:fill="cadfff"/>
        </w:tblPrEx>
        <w:trPr>
          <w:trHeight w:val="290" w:hRule="atLeast"/>
        </w:trPr>
        <w:tc>
          <w:tcPr>
            <w:tcW w:type="dxa" w:w="17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Dimensione</w:t>
            </w:r>
          </w:p>
        </w:tc>
        <w:tc>
          <w:tcPr>
            <w:tcW w:type="dxa" w:w="37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Significato</w:t>
            </w:r>
          </w:p>
        </w:tc>
        <w:tc>
          <w:tcPr>
            <w:tcW w:type="dxa" w:w="39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Conseguenza pratica</w:t>
            </w:r>
          </w:p>
        </w:tc>
      </w:tr>
      <w:tr>
        <w:tblPrEx>
          <w:shd w:val="clear" w:color="auto" w:fill="cadfff"/>
        </w:tblPrEx>
        <w:trPr>
          <w:trHeight w:val="570" w:hRule="atLeast"/>
        </w:trPr>
        <w:tc>
          <w:tcPr>
            <w:tcW w:type="dxa" w:w="17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Cristologica</w:t>
            </w:r>
          </w:p>
        </w:tc>
        <w:tc>
          <w:tcPr>
            <w:tcW w:type="dxa" w:w="37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Cristo 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il centro e il dono dell'Eucaristia.</w:t>
            </w:r>
          </w:p>
        </w:tc>
        <w:tc>
          <w:tcPr>
            <w:tcW w:type="dxa" w:w="39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Servire il Sacramento con fede e riverenza.</w:t>
            </w:r>
          </w:p>
        </w:tc>
      </w:tr>
      <w:tr>
        <w:tblPrEx>
          <w:shd w:val="clear" w:color="auto" w:fill="cadfff"/>
        </w:tblPrEx>
        <w:trPr>
          <w:trHeight w:val="570" w:hRule="atLeast"/>
        </w:trPr>
        <w:tc>
          <w:tcPr>
            <w:tcW w:type="dxa" w:w="17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Ecclesiologica</w:t>
            </w:r>
          </w:p>
        </w:tc>
        <w:tc>
          <w:tcPr>
            <w:tcW w:type="dxa" w:w="37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L'Eucaristia edifica la Chiesa come Corpo di Cristo.</w:t>
            </w:r>
          </w:p>
        </w:tc>
        <w:tc>
          <w:tcPr>
            <w:tcW w:type="dxa" w:w="39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Favorire la comunione e collaborare con la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comunit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.</w:t>
            </w:r>
          </w:p>
        </w:tc>
      </w:tr>
      <w:tr>
        <w:tblPrEx>
          <w:shd w:val="clear" w:color="auto" w:fill="cadfff"/>
        </w:tblPrEx>
        <w:trPr>
          <w:trHeight w:val="570" w:hRule="atLeast"/>
        </w:trPr>
        <w:tc>
          <w:tcPr>
            <w:tcW w:type="dxa" w:w="17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Liturgica</w:t>
            </w:r>
          </w:p>
        </w:tc>
        <w:tc>
          <w:tcPr>
            <w:tcW w:type="dxa" w:w="37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Ogni ministero ha una funzione propria, regolata dalla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Chiesa.</w:t>
            </w:r>
          </w:p>
        </w:tc>
        <w:tc>
          <w:tcPr>
            <w:tcW w:type="dxa" w:w="39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Rispettare il rito e i limiti dell'incarico.</w:t>
            </w:r>
          </w:p>
        </w:tc>
      </w:tr>
      <w:tr>
        <w:tblPrEx>
          <w:shd w:val="clear" w:color="auto" w:fill="cadfff"/>
        </w:tblPrEx>
        <w:trPr>
          <w:trHeight w:val="570" w:hRule="atLeast"/>
        </w:trPr>
        <w:tc>
          <w:tcPr>
            <w:tcW w:type="dxa" w:w="17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Spirituale</w:t>
            </w:r>
          </w:p>
        </w:tc>
        <w:tc>
          <w:tcPr>
            <w:tcW w:type="dxa" w:w="37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Il servizio richiede una vita alimentata dall'Eucaristia.</w:t>
            </w:r>
          </w:p>
        </w:tc>
        <w:tc>
          <w:tcPr>
            <w:tcW w:type="dxa" w:w="39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Coltivare preghiera, conversione e coerenza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evangelica.</w:t>
            </w:r>
          </w:p>
        </w:tc>
      </w:tr>
      <w:tr>
        <w:tblPrEx>
          <w:shd w:val="clear" w:color="auto" w:fill="cadfff"/>
        </w:tblPrEx>
        <w:trPr>
          <w:trHeight w:val="570" w:hRule="atLeast"/>
        </w:trPr>
        <w:tc>
          <w:tcPr>
            <w:tcW w:type="dxa" w:w="17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Pastorale</w:t>
            </w:r>
          </w:p>
        </w:tc>
        <w:tc>
          <w:tcPr>
            <w:tcW w:type="dxa" w:w="37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La Comunione raggiunge anche chi 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impedito o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fragile.</w:t>
            </w:r>
          </w:p>
        </w:tc>
        <w:tc>
          <w:tcPr>
            <w:tcW w:type="dxa" w:w="39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suppressAutoHyphens w:val="1"/>
              <w:spacing w:after="240"/>
            </w:pP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Accompagnare gli infermi con discrezione e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carit</w:t>
            </w:r>
            <w:r>
              <w:rPr>
                <w:rFonts w:ascii="Times Roman" w:hAnsi="Times Roman" w:hint="default"/>
                <w:sz w:val="24"/>
                <w:szCs w:val="24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imes Roman" w:hAnsi="Times Roman"/>
                <w:sz w:val="24"/>
                <w:szCs w:val="24"/>
                <w:shd w:val="nil" w:color="auto" w:fill="auto"/>
                <w:rtl w:val="0"/>
                <w:lang w:val="it-IT"/>
              </w:rPr>
              <w:t>.</w:t>
            </w:r>
          </w:p>
        </w:tc>
      </w:tr>
    </w:tbl>
    <w:p>
      <w:pPr>
        <w:pStyle w:val="Di default"/>
        <w:widowControl w:val="0"/>
        <w:suppressAutoHyphens w:val="1"/>
        <w:spacing w:before="0" w:after="240" w:line="240" w:lineRule="auto"/>
        <w:ind w:left="216" w:hanging="216"/>
        <w:rPr>
          <w:rFonts w:ascii="Times Roman" w:cs="Times Roman" w:hAnsi="Times Roman" w:eastAsia="Times Roman"/>
        </w:rPr>
      </w:pP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Queste dimensioni non sono indipendenti, ma si richiamano reciprocamente. La corretta esecuzione del rito esprime la fede nel Sacramento; la fede eucaristica alimenta la carit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à</w:t>
      </w:r>
      <w:r>
        <w:rPr>
          <w:rFonts w:ascii="Times Roman" w:hAnsi="Times Roman"/>
          <w:sz w:val="28"/>
          <w:szCs w:val="28"/>
          <w:rtl w:val="0"/>
          <w:lang w:val="it-IT"/>
        </w:rPr>
        <w:t>; la carit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manifesta la comunione ecclesiale; la comunione ecclesiale riconduce ogni servizio alla sua origine cristologica.</w:t>
      </w:r>
    </w:p>
    <w:p>
      <w:pPr>
        <w:pStyle w:val="Di 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Conclusione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Ministro straordinario della Comunione eucaristica occupa un posto significativo nella vita della Chiesa, purch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 xml:space="preserve">é </w:t>
      </w:r>
      <w:r>
        <w:rPr>
          <w:rFonts w:ascii="Times Roman" w:hAnsi="Times Roman"/>
          <w:sz w:val="28"/>
          <w:szCs w:val="28"/>
          <w:rtl w:val="0"/>
          <w:lang w:val="it-IT"/>
        </w:rPr>
        <w:t>il suo servizio sia compreso e vissuto secondo la sua autentica natura teologica e liturgica.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Il suo compito non consiste semplicemente nel distribuire l'Ostia consacrata, ma nel servire il mistero di Cristo che si dona alla sua Chiesa. Egli agisce all'interno di una comunit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ordinata, nella quale i diversi ministeri non competono tra loro, ma collaborano all'edificazione del Corpo di Cristo.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La sua straordinariet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non costituisce un titolo di prestigio, bens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ì </w:t>
      </w:r>
      <w:r>
        <w:rPr>
          <w:rFonts w:ascii="Times Roman" w:hAnsi="Times Roman"/>
          <w:sz w:val="28"/>
          <w:szCs w:val="28"/>
          <w:rtl w:val="0"/>
          <w:lang w:val="it-IT"/>
        </w:rPr>
        <w:t>una responsabilit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che esige formazione, obbedienza ecclesiale, equilibrio spirituale e disponibilit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al servizio. Nella celebrazione eucaristica, il Ministro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chiamato a scomparire dietro la grandezza del dono che serve; nella visita agli infermi,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chiamato a rendere visibile la sollecitudine della Chiesa verso i suoi membri pi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ù </w:t>
      </w:r>
      <w:r>
        <w:rPr>
          <w:rFonts w:ascii="Times Roman" w:hAnsi="Times Roman"/>
          <w:sz w:val="28"/>
          <w:szCs w:val="28"/>
          <w:rtl w:val="0"/>
          <w:lang w:val="it-IT"/>
        </w:rPr>
        <w:t>fragili.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>In definitiva, la dimensione teologico-liturgica del Ministro straordinario si riassume nell'unit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tra fede eucaristica, fedelt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liturgica e carit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ecclesiale. Il ministero raggiunge la sua piena fecondit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it-IT"/>
        </w:rPr>
        <w:t>quando il rispetto per la presenza reale di Cristo si traduce in un servizio umile, ordinato e generoso, capace di manifestare nella vita quotidiana la comunione celebrata sull'altare.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it-IT"/>
        </w:rPr>
        <w:t xml:space="preserve">Il Ministro straordinario non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soltanto colui che porta la Comunione: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un fedele che, attraverso un incarico ecclesiale specifico,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chiamato a testimoniare che l'Eucaristia 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Roman" w:hAnsi="Times Roman"/>
          <w:sz w:val="28"/>
          <w:szCs w:val="28"/>
          <w:rtl w:val="0"/>
          <w:lang w:val="it-IT"/>
        </w:rPr>
        <w:t>il centro della vita cristiana e la sorgente della comunione tra Dio egli uomini.</w:t>
      </w:r>
    </w:p>
    <w:p>
      <w:pPr>
        <w:pStyle w:val="Di 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Riferimenti magisteriali e liturgici essenziali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>Per approfondire il tema in una prospettiva teologica e pastorale, sono particolarmente utili i seguenti documenti:</w:t>
      </w:r>
    </w:p>
    <w:p>
      <w:pPr>
        <w:pStyle w:val="Di default"/>
        <w:numPr>
          <w:ilvl w:val="0"/>
          <w:numId w:val="8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 xml:space="preserve">Concilio Vaticano II, Costituzione dogmatica Lumen gentium, nn. 10-11 </w:t>
      </w:r>
      <w:r>
        <w:rPr>
          <w:rFonts w:ascii="Times Roman" w:hAnsi="Times Roman" w:hint="default"/>
          <w:rtl w:val="0"/>
          <w:lang w:val="en-US"/>
        </w:rPr>
        <w:t xml:space="preserve">— </w:t>
      </w:r>
      <w:r>
        <w:rPr>
          <w:rFonts w:ascii="Times Roman" w:hAnsi="Times Roman"/>
          <w:rtl w:val="0"/>
          <w:lang w:val="it-IT"/>
        </w:rPr>
        <w:t>Il sacerdozio comune dei fedeli e il</w:t>
      </w:r>
      <w:r>
        <w:rPr>
          <w:rFonts w:ascii="Times Roman" w:hAnsi="Times Roman"/>
          <w:rtl w:val="0"/>
          <w:lang w:val="it-IT"/>
        </w:rPr>
        <w:t xml:space="preserve"> </w:t>
      </w:r>
      <w:r>
        <w:rPr>
          <w:rFonts w:ascii="Times Roman" w:hAnsi="Times Roman"/>
          <w:rtl w:val="0"/>
          <w:lang w:val="it-IT"/>
        </w:rPr>
        <w:t>ruolo dell'Eucaristia nella vita della Chiesa.</w:t>
      </w:r>
    </w:p>
    <w:p>
      <w:pPr>
        <w:pStyle w:val="Di default"/>
        <w:numPr>
          <w:ilvl w:val="0"/>
          <w:numId w:val="8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 xml:space="preserve">Concilio Vaticano II, Costituzione Sacrosanctum Concilium, nn. 7, 28-29, 47-48 </w:t>
      </w:r>
      <w:r>
        <w:rPr>
          <w:rFonts w:ascii="Times Roman" w:hAnsi="Times Roman" w:hint="default"/>
          <w:rtl w:val="0"/>
          <w:lang w:val="en-US"/>
        </w:rPr>
        <w:t xml:space="preserve">— </w:t>
      </w:r>
      <w:r>
        <w:rPr>
          <w:rFonts w:ascii="Times Roman" w:hAnsi="Times Roman"/>
          <w:rtl w:val="0"/>
          <w:lang w:val="it-IT"/>
        </w:rPr>
        <w:t>La natura della liturgia, la distribuzione dei compiti e la partecipazione dei fedeli.</w:t>
      </w:r>
    </w:p>
    <w:p>
      <w:pPr>
        <w:pStyle w:val="Di default"/>
        <w:numPr>
          <w:ilvl w:val="0"/>
          <w:numId w:val="8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 xml:space="preserve">Codice di diritto canonico, can. 230 </w:t>
      </w:r>
      <w:r>
        <w:rPr>
          <w:rFonts w:ascii="Times Roman" w:hAnsi="Times Roman" w:hint="default"/>
          <w:rtl w:val="0"/>
          <w:lang w:val="it-IT"/>
        </w:rPr>
        <w:t xml:space="preserve">§ </w:t>
      </w:r>
      <w:r>
        <w:rPr>
          <w:rFonts w:ascii="Times Roman" w:hAnsi="Times Roman"/>
          <w:rtl w:val="0"/>
          <w:lang w:val="it-IT"/>
        </w:rPr>
        <w:t xml:space="preserve">3 </w:t>
      </w:r>
      <w:r>
        <w:rPr>
          <w:rFonts w:ascii="Times Roman" w:hAnsi="Times Roman" w:hint="default"/>
          <w:rtl w:val="0"/>
          <w:lang w:val="en-US"/>
        </w:rPr>
        <w:t xml:space="preserve">— </w:t>
      </w:r>
      <w:r>
        <w:rPr>
          <w:rFonts w:ascii="Times Roman" w:hAnsi="Times Roman"/>
          <w:rtl w:val="0"/>
          <w:lang w:val="it-IT"/>
        </w:rPr>
        <w:t>La possibilit</w:t>
      </w:r>
      <w:r>
        <w:rPr>
          <w:rFonts w:ascii="Times Roman" w:hAnsi="Times Roman" w:hint="default"/>
          <w:rtl w:val="0"/>
          <w:lang w:val="it-IT"/>
        </w:rPr>
        <w:t xml:space="preserve">à </w:t>
      </w:r>
      <w:r>
        <w:rPr>
          <w:rFonts w:ascii="Times Roman" w:hAnsi="Times Roman"/>
          <w:rtl w:val="0"/>
          <w:lang w:val="it-IT"/>
        </w:rPr>
        <w:t>di affidare ai laici determinate funzioni liturgiche in caso di necessit</w:t>
      </w:r>
      <w:r>
        <w:rPr>
          <w:rFonts w:ascii="Times Roman" w:hAnsi="Times Roman" w:hint="default"/>
          <w:rtl w:val="0"/>
          <w:lang w:val="it-IT"/>
        </w:rPr>
        <w:t>à</w:t>
      </w:r>
      <w:r>
        <w:rPr>
          <w:rFonts w:ascii="Times Roman" w:hAnsi="Times Roman"/>
          <w:rtl w:val="0"/>
          <w:lang w:val="it-IT"/>
        </w:rPr>
        <w:t>.</w:t>
      </w:r>
    </w:p>
    <w:p>
      <w:pPr>
        <w:pStyle w:val="Di default"/>
        <w:numPr>
          <w:ilvl w:val="0"/>
          <w:numId w:val="8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 xml:space="preserve">Congregazione per la Disciplina dei Sacramenti, Istruzione Immensae caritatis (1973) </w:t>
      </w:r>
      <w:r>
        <w:rPr>
          <w:rFonts w:ascii="Times Roman" w:hAnsi="Times Roman" w:hint="default"/>
          <w:rtl w:val="0"/>
          <w:lang w:val="en-US"/>
        </w:rPr>
        <w:t xml:space="preserve">— </w:t>
      </w:r>
      <w:r>
        <w:rPr>
          <w:rFonts w:ascii="Times Roman" w:hAnsi="Times Roman"/>
          <w:rtl w:val="0"/>
          <w:lang w:val="it-IT"/>
        </w:rPr>
        <w:t>Le disposizioni relative ai ministri straordinari della Comunione.</w:t>
      </w:r>
    </w:p>
    <w:p>
      <w:pPr>
        <w:pStyle w:val="Di default"/>
        <w:numPr>
          <w:ilvl w:val="0"/>
          <w:numId w:val="8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 xml:space="preserve">Congregazione per il Culto Divino e la Disciplina dei Sacramenti, Istruzione Redemptionis sacramentum (2004), nn. 154-160 </w:t>
      </w:r>
      <w:r>
        <w:rPr>
          <w:rFonts w:ascii="Times Roman" w:hAnsi="Times Roman" w:hint="default"/>
          <w:rtl w:val="0"/>
          <w:lang w:val="en-US"/>
        </w:rPr>
        <w:t xml:space="preserve">— </w:t>
      </w:r>
      <w:r>
        <w:rPr>
          <w:rFonts w:ascii="Times Roman" w:hAnsi="Times Roman"/>
          <w:rtl w:val="0"/>
          <w:lang w:val="it-IT"/>
        </w:rPr>
        <w:t>La natura, le condizioni e i limiti del ministero straordinario.</w:t>
      </w:r>
    </w:p>
    <w:p>
      <w:pPr>
        <w:pStyle w:val="Di default"/>
        <w:numPr>
          <w:ilvl w:val="0"/>
          <w:numId w:val="8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 xml:space="preserve">Rito della Comunione fuori della Messa e culto eucaristico, nel Rituale Romano </w:t>
      </w:r>
      <w:r>
        <w:rPr>
          <w:rFonts w:ascii="Times Roman" w:hAnsi="Times Roman" w:hint="default"/>
          <w:rtl w:val="0"/>
          <w:lang w:val="en-US"/>
        </w:rPr>
        <w:t xml:space="preserve">— </w:t>
      </w:r>
      <w:r>
        <w:rPr>
          <w:rFonts w:ascii="Times Roman" w:hAnsi="Times Roman"/>
          <w:rtl w:val="0"/>
          <w:lang w:val="it-IT"/>
        </w:rPr>
        <w:t>Le modalit</w:t>
      </w:r>
      <w:r>
        <w:rPr>
          <w:rFonts w:ascii="Times Roman" w:hAnsi="Times Roman" w:hint="default"/>
          <w:rtl w:val="0"/>
          <w:lang w:val="it-IT"/>
        </w:rPr>
        <w:t xml:space="preserve">à </w:t>
      </w:r>
      <w:r>
        <w:rPr>
          <w:rFonts w:ascii="Times Roman" w:hAnsi="Times Roman"/>
          <w:rtl w:val="0"/>
          <w:lang w:val="it-IT"/>
        </w:rPr>
        <w:t>liturgiche per la</w:t>
      </w:r>
      <w:r>
        <w:rPr>
          <w:rFonts w:ascii="Times Roman" w:hAnsi="Times Roman"/>
          <w:rtl w:val="0"/>
          <w:lang w:val="it-IT"/>
        </w:rPr>
        <w:t xml:space="preserve"> </w:t>
      </w:r>
      <w:r>
        <w:rPr>
          <w:rFonts w:ascii="Times Roman" w:hAnsi="Times Roman"/>
          <w:rtl w:val="0"/>
          <w:lang w:val="it-IT"/>
        </w:rPr>
        <w:t>Comunione agli infermi e il culto eucaristico fuori della celebrazione.</w:t>
      </w: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to elenco"/>
  </w:abstractNum>
  <w:abstractNum w:abstractNumId="1">
    <w:multiLevelType w:val="hybridMultilevel"/>
    <w:styleLink w:val="Punto elenco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02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24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46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8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90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12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34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56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ti elenco"/>
  </w:abstractNum>
  <w:abstractNum w:abstractNumId="3">
    <w:multiLevelType w:val="hybridMultilevel"/>
    <w:styleLink w:val="Punti elenco"/>
    <w:lvl w:ilvl="0">
      <w:start w:val="1"/>
      <w:numFmt w:val="bullet"/>
      <w:suff w:val="tab"/>
      <w:lvlText w:val="•"/>
      <w:lvlJc w:val="left"/>
      <w:pPr>
        <w:ind w:left="189" w:hanging="18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21" w:hanging="221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420" w:hanging="22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020" w:hanging="22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621" w:hanging="22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221" w:hanging="22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821" w:hanging="22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421" w:hanging="22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5021" w:hanging="22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Numerato"/>
  </w:abstractNum>
  <w:abstractNum w:abstractNumId="5">
    <w:multiLevelType w:val="hybridMultilevel"/>
    <w:styleLink w:val="Numerato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2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24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6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8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90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12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34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563" w:hanging="583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•"/>
        <w:lvlJc w:val="left"/>
        <w:pPr>
          <w:ind w:left="189" w:hanging="189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821" w:hanging="221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420" w:hanging="22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020" w:hanging="22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621" w:hanging="22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221" w:hanging="22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821" w:hanging="22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421" w:hanging="22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5021" w:hanging="22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  <w:num w:numId="8">
    <w:abstractNumId w:val="4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7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fffff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Punto elenco">
    <w:name w:val="Punto elenco"/>
    <w:pPr>
      <w:numPr>
        <w:numId w:val="1"/>
      </w:numPr>
    </w:pPr>
  </w:style>
  <w:style w:type="numbering" w:styleId="Punti elenco">
    <w:name w:val="Punti elenco"/>
    <w:pPr>
      <w:numPr>
        <w:numId w:val="3"/>
      </w:numPr>
    </w:pPr>
  </w:style>
  <w:style w:type="numbering" w:styleId="Numerato">
    <w:name w:val="Numerato"/>
    <w:pPr>
      <w:numPr>
        <w:numId w:val="6"/>
      </w:numPr>
    </w:pPr>
  </w:style>
  <w:style w:type="paragraph" w:styleId="Stile tabella 2">
    <w:name w:val="Stile tabella 2"/>
    <w:next w:val="Stile tabella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